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71" w:rsidRDefault="00084F71" w:rsidP="00084F71">
      <w:pPr>
        <w:rPr>
          <w:sz w:val="24"/>
        </w:rPr>
      </w:pPr>
    </w:p>
    <w:p w:rsidR="00084F71" w:rsidRDefault="00084F71" w:rsidP="00084F71">
      <w:pPr>
        <w:rPr>
          <w:sz w:val="24"/>
        </w:rPr>
      </w:pPr>
    </w:p>
    <w:p w:rsidR="00084F71" w:rsidRDefault="00084F71" w:rsidP="00084F71">
      <w:pPr>
        <w:pStyle w:val="Heading1"/>
        <w:rPr>
          <w:sz w:val="26"/>
        </w:rPr>
      </w:pPr>
      <w:bookmarkStart w:id="0" w:name="_Toc306177487"/>
      <w:r>
        <w:rPr>
          <w:sz w:val="26"/>
        </w:rPr>
        <w:t>ATTORNEY BIOGRAPHICAL profile of spencer P. scheer</w:t>
      </w:r>
      <w:bookmarkEnd w:id="0"/>
    </w:p>
    <w:p w:rsidR="00084F71" w:rsidRDefault="00084F71" w:rsidP="00084F71">
      <w:pPr>
        <w:rPr>
          <w:sz w:val="24"/>
        </w:rPr>
      </w:pPr>
      <w:r>
        <w:rPr>
          <w:noProof/>
          <w:sz w:val="24"/>
        </w:rPr>
        <w:drawing>
          <wp:inline distT="0" distB="0" distL="0" distR="0">
            <wp:extent cx="975360" cy="1021080"/>
            <wp:effectExtent l="19050" t="0" r="0" b="0"/>
            <wp:docPr id="1" name="Picture 1" descr="spencer_super_lawyers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cer_super_lawyers_dark"/>
                    <pic:cNvPicPr>
                      <a:picLocks noChangeAspect="1" noChangeArrowheads="1"/>
                    </pic:cNvPicPr>
                  </pic:nvPicPr>
                  <pic:blipFill>
                    <a:blip r:embed="rId4" cstate="print"/>
                    <a:srcRect/>
                    <a:stretch>
                      <a:fillRect/>
                    </a:stretch>
                  </pic:blipFill>
                  <pic:spPr bwMode="auto">
                    <a:xfrm>
                      <a:off x="0" y="0"/>
                      <a:ext cx="975360" cy="1021080"/>
                    </a:xfrm>
                    <a:prstGeom prst="rect">
                      <a:avLst/>
                    </a:prstGeom>
                    <a:noFill/>
                    <a:ln w="9525">
                      <a:noFill/>
                      <a:miter lim="800000"/>
                      <a:headEnd/>
                      <a:tailEnd/>
                    </a:ln>
                  </pic:spPr>
                </pic:pic>
              </a:graphicData>
            </a:graphic>
          </wp:inline>
        </w:drawing>
      </w:r>
      <w:r>
        <w:rPr>
          <w:sz w:val="24"/>
        </w:rPr>
        <w:t xml:space="preserve">                                                                         </w:t>
      </w:r>
      <w:r>
        <w:rPr>
          <w:noProof/>
          <w:sz w:val="24"/>
        </w:rPr>
        <w:drawing>
          <wp:inline distT="0" distB="0" distL="0" distR="0">
            <wp:extent cx="1905000" cy="10210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905000" cy="1021080"/>
                    </a:xfrm>
                    <a:prstGeom prst="rect">
                      <a:avLst/>
                    </a:prstGeom>
                    <a:noFill/>
                    <a:ln w="9525">
                      <a:noFill/>
                      <a:miter lim="800000"/>
                      <a:headEnd/>
                      <a:tailEnd/>
                    </a:ln>
                  </pic:spPr>
                </pic:pic>
              </a:graphicData>
            </a:graphic>
          </wp:inline>
        </w:drawing>
      </w:r>
    </w:p>
    <w:p w:rsidR="00084F71" w:rsidRDefault="00084F71" w:rsidP="00084F71">
      <w:pPr>
        <w:rPr>
          <w:sz w:val="24"/>
        </w:rPr>
      </w:pPr>
    </w:p>
    <w:p w:rsidR="00084F71" w:rsidRDefault="00084F71" w:rsidP="00084F71">
      <w:pPr>
        <w:rPr>
          <w:sz w:val="24"/>
        </w:rPr>
      </w:pPr>
      <w:r>
        <w:rPr>
          <w:sz w:val="24"/>
        </w:rPr>
        <w:t xml:space="preserve">Mr. Scheer is a principal of SLG.  He graduated from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Massachusetts</w:t>
          </w:r>
        </w:smartTag>
      </w:smartTag>
      <w:r>
        <w:rPr>
          <w:sz w:val="24"/>
        </w:rPr>
        <w:t xml:space="preserve"> (B.A., cum laude, 1980), and earned his </w:t>
      </w:r>
      <w:proofErr w:type="spellStart"/>
      <w:r>
        <w:rPr>
          <w:sz w:val="24"/>
        </w:rPr>
        <w:t>Juris</w:t>
      </w:r>
      <w:proofErr w:type="spellEnd"/>
      <w:r>
        <w:rPr>
          <w:sz w:val="24"/>
        </w:rPr>
        <w:t xml:space="preserve"> Doctor Degree from Empire College of Law (1983).  After clerking for Alan </w:t>
      </w:r>
      <w:proofErr w:type="spellStart"/>
      <w:r>
        <w:rPr>
          <w:sz w:val="24"/>
        </w:rPr>
        <w:t>Jaroslovsky</w:t>
      </w:r>
      <w:proofErr w:type="spellEnd"/>
      <w:r>
        <w:rPr>
          <w:sz w:val="24"/>
        </w:rPr>
        <w:t xml:space="preserve"> ( Bankruptcy Judge, N Dist of CA),  Mr. Scheer worked as Bankruptcy Administrator and In-House counsel for World Savings and Loan Association, a Fortune 500 Company.   Mr. Scheer then went on to work for the AV rated Firm of Polk, Scheer &amp; Prober from 1984-2002, becoming a shareholder and Managing Principal in 1993.</w:t>
      </w:r>
    </w:p>
    <w:p w:rsidR="00084F71" w:rsidRDefault="00084F71" w:rsidP="00084F71">
      <w:pPr>
        <w:rPr>
          <w:sz w:val="24"/>
        </w:rPr>
      </w:pPr>
    </w:p>
    <w:p w:rsidR="00084F71" w:rsidRDefault="00084F71" w:rsidP="00084F71">
      <w:pPr>
        <w:rPr>
          <w:sz w:val="24"/>
        </w:rPr>
      </w:pPr>
      <w:r>
        <w:rPr>
          <w:sz w:val="24"/>
        </w:rPr>
        <w:t xml:space="preserve">Mr. Scheer has received an AV (highest rating) from Martindale-Hubbell and received a designation as </w:t>
      </w:r>
      <w:proofErr w:type="gramStart"/>
      <w:r>
        <w:rPr>
          <w:sz w:val="24"/>
        </w:rPr>
        <w:t>a  Northern</w:t>
      </w:r>
      <w:proofErr w:type="gramEnd"/>
      <w:r>
        <w:rPr>
          <w:sz w:val="24"/>
        </w:rPr>
        <w:t xml:space="preserve"> California “Super Lawyer” by the Thompson Reuters group.  He is an effective and successful litigator and has handled over 200 jury and non-jury trials in State and Federal courts, focusing on creditor and real estate litigation matters. Mr. Scheer has a reputation as an attorney who provides superior client service and who gets things done. Mr. Scheer has a diverse legal background that allows him to represent and advise SLG lender,  mortgage broker, business and investor clients on a wide variety of legal matters, including: consumer and commercial creditor bankruptcy litigation, real estate litigation, note and trust deed review and litigation, TILA rescission claims, commercial and consumer lease review, general contract review and litigation, landlord tenant litigation, title insurance litigation, real estate transaction and lender and broker liability matters.</w:t>
      </w:r>
    </w:p>
    <w:p w:rsidR="00084F71" w:rsidRDefault="00084F71" w:rsidP="00084F71">
      <w:pPr>
        <w:rPr>
          <w:sz w:val="24"/>
        </w:rPr>
      </w:pPr>
    </w:p>
    <w:p w:rsidR="00084F71" w:rsidRDefault="00084F71" w:rsidP="00084F71">
      <w:pPr>
        <w:rPr>
          <w:sz w:val="24"/>
        </w:rPr>
      </w:pPr>
    </w:p>
    <w:p w:rsidR="00084F71" w:rsidRDefault="00084F71" w:rsidP="00084F71">
      <w:pPr>
        <w:rPr>
          <w:sz w:val="24"/>
        </w:rPr>
      </w:pPr>
      <w:r>
        <w:rPr>
          <w:sz w:val="24"/>
        </w:rPr>
        <w:t xml:space="preserve">In 2005, Mr. Scheer spearheaded the cooperative efforts of a regional bank, title companies and TIC counsel, resulting in the release of the first known institutional retail Tenant in Common loan program in the State of </w:t>
      </w:r>
      <w:smartTag w:uri="urn:schemas-microsoft-com:office:smarttags" w:element="place">
        <w:smartTag w:uri="urn:schemas-microsoft-com:office:smarttags" w:element="State">
          <w:r>
            <w:rPr>
              <w:sz w:val="24"/>
            </w:rPr>
            <w:t>California</w:t>
          </w:r>
        </w:smartTag>
      </w:smartTag>
    </w:p>
    <w:p w:rsidR="00084F71" w:rsidRDefault="00084F71" w:rsidP="00084F71">
      <w:pPr>
        <w:rPr>
          <w:sz w:val="24"/>
        </w:rPr>
      </w:pPr>
    </w:p>
    <w:p w:rsidR="00084F71" w:rsidRDefault="00084F71" w:rsidP="00084F71">
      <w:pPr>
        <w:rPr>
          <w:sz w:val="24"/>
        </w:rPr>
      </w:pPr>
    </w:p>
    <w:p w:rsidR="00084F71" w:rsidRDefault="00084F71" w:rsidP="00084F71">
      <w:pPr>
        <w:rPr>
          <w:sz w:val="24"/>
        </w:rPr>
      </w:pPr>
      <w:r w:rsidRPr="00247D30">
        <w:rPr>
          <w:b/>
          <w:sz w:val="24"/>
          <w:u w:val="single"/>
        </w:rPr>
        <w:t>Published cases</w:t>
      </w:r>
      <w:r>
        <w:rPr>
          <w:sz w:val="24"/>
        </w:rPr>
        <w:t xml:space="preserve"> of note that Mr. Scheer has been involved in include:</w:t>
      </w:r>
    </w:p>
    <w:p w:rsidR="00084F71" w:rsidRPr="00D638A7" w:rsidRDefault="00084F71" w:rsidP="00084F71">
      <w:pPr>
        <w:rPr>
          <w:color w:val="1F497D"/>
          <w:sz w:val="24"/>
        </w:rPr>
      </w:pPr>
    </w:p>
    <w:p w:rsidR="00084F71" w:rsidRPr="007A7A7A" w:rsidRDefault="00084F71" w:rsidP="00084F71">
      <w:pPr>
        <w:rPr>
          <w:sz w:val="24"/>
          <w:szCs w:val="24"/>
        </w:rPr>
      </w:pPr>
      <w:r w:rsidRPr="007A7A7A">
        <w:rPr>
          <w:sz w:val="24"/>
          <w:szCs w:val="24"/>
        </w:rPr>
        <w:br/>
      </w:r>
      <w:hyperlink r:id="rId6" w:tgtFrame="x" w:tooltip="Clicking this link retrieves the full text document in another window" w:history="1">
        <w:r w:rsidRPr="007A7A7A">
          <w:rPr>
            <w:rStyle w:val="Hyperlink"/>
            <w:sz w:val="24"/>
            <w:szCs w:val="24"/>
          </w:rPr>
          <w:t xml:space="preserve">McCall River Ranch Co. v. </w:t>
        </w:r>
        <w:proofErr w:type="spellStart"/>
        <w:r w:rsidRPr="007A7A7A">
          <w:rPr>
            <w:rStyle w:val="Hyperlink"/>
            <w:sz w:val="24"/>
            <w:szCs w:val="24"/>
          </w:rPr>
          <w:t>Schimmel</w:t>
        </w:r>
        <w:proofErr w:type="spellEnd"/>
        <w:r w:rsidRPr="007A7A7A">
          <w:rPr>
            <w:rStyle w:val="Hyperlink"/>
            <w:sz w:val="24"/>
            <w:szCs w:val="24"/>
          </w:rPr>
          <w:t xml:space="preserve"> (In re </w:t>
        </w:r>
        <w:proofErr w:type="spellStart"/>
        <w:r w:rsidRPr="007A7A7A">
          <w:rPr>
            <w:rStyle w:val="Hyperlink"/>
            <w:sz w:val="24"/>
            <w:szCs w:val="24"/>
          </w:rPr>
          <w:t>Schimmel</w:t>
        </w:r>
        <w:proofErr w:type="spellEnd"/>
        <w:r w:rsidRPr="007A7A7A">
          <w:rPr>
            <w:rStyle w:val="Hyperlink"/>
            <w:sz w:val="24"/>
            <w:szCs w:val="24"/>
          </w:rPr>
          <w:t xml:space="preserve">), 2012 </w:t>
        </w:r>
        <w:proofErr w:type="spellStart"/>
        <w:r w:rsidRPr="007A7A7A">
          <w:rPr>
            <w:rStyle w:val="Hyperlink"/>
            <w:sz w:val="24"/>
            <w:szCs w:val="24"/>
          </w:rPr>
          <w:t>Bankr</w:t>
        </w:r>
        <w:proofErr w:type="spellEnd"/>
        <w:r w:rsidRPr="007A7A7A">
          <w:rPr>
            <w:rStyle w:val="Hyperlink"/>
            <w:sz w:val="24"/>
            <w:szCs w:val="24"/>
          </w:rPr>
          <w:t xml:space="preserve">. </w:t>
        </w:r>
        <w:proofErr w:type="gramStart"/>
        <w:r w:rsidRPr="007A7A7A">
          <w:rPr>
            <w:rStyle w:val="Hyperlink"/>
            <w:sz w:val="24"/>
            <w:szCs w:val="24"/>
          </w:rPr>
          <w:t>LEXIS 3418 (</w:t>
        </w:r>
        <w:proofErr w:type="spellStart"/>
        <w:r w:rsidRPr="007A7A7A">
          <w:rPr>
            <w:rStyle w:val="Hyperlink"/>
            <w:sz w:val="24"/>
            <w:szCs w:val="24"/>
          </w:rPr>
          <w:t>Bankr</w:t>
        </w:r>
        <w:proofErr w:type="spellEnd"/>
        <w:r w:rsidRPr="007A7A7A">
          <w:rPr>
            <w:rStyle w:val="Hyperlink"/>
            <w:sz w:val="24"/>
            <w:szCs w:val="24"/>
          </w:rPr>
          <w:t>.</w:t>
        </w:r>
        <w:proofErr w:type="gramEnd"/>
        <w:r w:rsidRPr="007A7A7A">
          <w:rPr>
            <w:rStyle w:val="Hyperlink"/>
            <w:sz w:val="24"/>
            <w:szCs w:val="24"/>
          </w:rPr>
          <w:t xml:space="preserve"> N.D. Cal. July 26, 2012)</w:t>
        </w:r>
      </w:hyperlink>
      <w:r w:rsidRPr="007A7A7A">
        <w:rPr>
          <w:sz w:val="24"/>
          <w:szCs w:val="24"/>
        </w:rPr>
        <w:t xml:space="preserve">. </w:t>
      </w:r>
      <w:r>
        <w:rPr>
          <w:sz w:val="24"/>
          <w:szCs w:val="24"/>
        </w:rPr>
        <w:t xml:space="preserve"> SLG prevailed for its Client in</w:t>
      </w:r>
      <w:r w:rsidRPr="007A7A7A">
        <w:rPr>
          <w:sz w:val="24"/>
          <w:szCs w:val="24"/>
        </w:rPr>
        <w:t xml:space="preserve"> a</w:t>
      </w:r>
      <w:r>
        <w:rPr>
          <w:sz w:val="24"/>
          <w:szCs w:val="24"/>
        </w:rPr>
        <w:t xml:space="preserve"> trial held in the San Francisco Bankruptcy Court on a c</w:t>
      </w:r>
      <w:r w:rsidRPr="007A7A7A">
        <w:rPr>
          <w:sz w:val="24"/>
          <w:szCs w:val="24"/>
        </w:rPr>
        <w:t xml:space="preserve">omplaint to deny the Debtor his </w:t>
      </w:r>
      <w:r>
        <w:rPr>
          <w:sz w:val="24"/>
          <w:szCs w:val="24"/>
        </w:rPr>
        <w:t>general dis</w:t>
      </w:r>
      <w:r w:rsidRPr="007A7A7A">
        <w:rPr>
          <w:sz w:val="24"/>
          <w:szCs w:val="24"/>
        </w:rPr>
        <w:t xml:space="preserve">charge under </w:t>
      </w:r>
      <w:hyperlink r:id="rId7" w:history="1">
        <w:r w:rsidRPr="007A7A7A">
          <w:rPr>
            <w:rStyle w:val="Hyperlink"/>
            <w:sz w:val="24"/>
            <w:szCs w:val="24"/>
          </w:rPr>
          <w:t>Section 727(a)(2)(B)</w:t>
        </w:r>
      </w:hyperlink>
      <w:r>
        <w:rPr>
          <w:sz w:val="24"/>
          <w:szCs w:val="24"/>
        </w:rPr>
        <w:t xml:space="preserve">.  Denial of a bankrupt’s general discharge is not common.  SLG established that the Debtor concealed the rights of his wholly owned business to continue to collect a commission stream and that he portrayed the business to be insolvent, and then took the commission stream for </w:t>
      </w:r>
      <w:r>
        <w:rPr>
          <w:sz w:val="24"/>
          <w:szCs w:val="24"/>
        </w:rPr>
        <w:lastRenderedPageBreak/>
        <w:t xml:space="preserve">himself.  The Court found this to be an intentional concealment of property of the bankruptcy estate, with the intent to hinder, delay, or defraud and denied the Debtor’s rights to a discharge. </w:t>
      </w:r>
    </w:p>
    <w:p w:rsidR="00084F71" w:rsidRPr="007A7A7A" w:rsidRDefault="00084F71" w:rsidP="00084F71">
      <w:pPr>
        <w:rPr>
          <w:sz w:val="24"/>
          <w:szCs w:val="24"/>
        </w:rPr>
      </w:pPr>
    </w:p>
    <w:p w:rsidR="00084F71" w:rsidRPr="001B0195" w:rsidRDefault="00084F71" w:rsidP="00084F71">
      <w:pPr>
        <w:rPr>
          <w:b/>
          <w:color w:val="1F497D"/>
          <w:sz w:val="24"/>
          <w:szCs w:val="24"/>
        </w:rPr>
      </w:pPr>
      <w:hyperlink r:id="rId8" w:tgtFrame="x" w:tooltip="Clicking this link retrieves the full text document &#10;in another window" w:history="1">
        <w:proofErr w:type="gramStart"/>
        <w:r w:rsidRPr="007A7A7A">
          <w:rPr>
            <w:rStyle w:val="Hyperlink"/>
            <w:sz w:val="24"/>
            <w:szCs w:val="24"/>
          </w:rPr>
          <w:t xml:space="preserve">In re </w:t>
        </w:r>
        <w:proofErr w:type="spellStart"/>
        <w:r w:rsidRPr="007A7A7A">
          <w:rPr>
            <w:rStyle w:val="Hyperlink"/>
            <w:sz w:val="24"/>
            <w:szCs w:val="24"/>
          </w:rPr>
          <w:t>Sroa</w:t>
        </w:r>
        <w:proofErr w:type="spellEnd"/>
        <w:r w:rsidRPr="007A7A7A">
          <w:rPr>
            <w:rStyle w:val="Hyperlink"/>
            <w:sz w:val="24"/>
            <w:szCs w:val="24"/>
          </w:rPr>
          <w:t xml:space="preserve">, 2011 </w:t>
        </w:r>
        <w:proofErr w:type="spellStart"/>
        <w:r w:rsidRPr="007A7A7A">
          <w:rPr>
            <w:rStyle w:val="Hyperlink"/>
            <w:sz w:val="24"/>
            <w:szCs w:val="24"/>
          </w:rPr>
          <w:t>Bankr</w:t>
        </w:r>
        <w:proofErr w:type="spellEnd"/>
        <w:r w:rsidRPr="007A7A7A">
          <w:rPr>
            <w:rStyle w:val="Hyperlink"/>
            <w:sz w:val="24"/>
            <w:szCs w:val="24"/>
          </w:rPr>
          <w:t>.</w:t>
        </w:r>
        <w:proofErr w:type="gramEnd"/>
        <w:r w:rsidRPr="007A7A7A">
          <w:rPr>
            <w:rStyle w:val="Hyperlink"/>
            <w:sz w:val="24"/>
            <w:szCs w:val="24"/>
          </w:rPr>
          <w:t xml:space="preserve"> </w:t>
        </w:r>
        <w:proofErr w:type="gramStart"/>
        <w:r w:rsidRPr="007A7A7A">
          <w:rPr>
            <w:rStyle w:val="Hyperlink"/>
            <w:sz w:val="24"/>
            <w:szCs w:val="24"/>
          </w:rPr>
          <w:t>LEXIS 4552 (</w:t>
        </w:r>
        <w:proofErr w:type="spellStart"/>
        <w:r w:rsidRPr="007A7A7A">
          <w:rPr>
            <w:rStyle w:val="Hyperlink"/>
            <w:sz w:val="24"/>
            <w:szCs w:val="24"/>
          </w:rPr>
          <w:t>Bankr</w:t>
        </w:r>
        <w:proofErr w:type="spellEnd"/>
        <w:r w:rsidRPr="007A7A7A">
          <w:rPr>
            <w:rStyle w:val="Hyperlink"/>
            <w:sz w:val="24"/>
            <w:szCs w:val="24"/>
          </w:rPr>
          <w:t>.</w:t>
        </w:r>
        <w:proofErr w:type="gramEnd"/>
        <w:r w:rsidRPr="007A7A7A">
          <w:rPr>
            <w:rStyle w:val="Hyperlink"/>
            <w:sz w:val="24"/>
            <w:szCs w:val="24"/>
          </w:rPr>
          <w:t xml:space="preserve"> N.D. Cal. Nov. 16, 2011)</w:t>
        </w:r>
      </w:hyperlink>
      <w:r w:rsidRPr="007A7A7A">
        <w:rPr>
          <w:sz w:val="24"/>
          <w:szCs w:val="24"/>
        </w:rPr>
        <w:t>. SLG prevailed for its Client in a Chapter 11 Confirmation Trial in bankruptcy proceedings.  The case is noteworthy</w:t>
      </w:r>
      <w:r w:rsidRPr="001B0195">
        <w:rPr>
          <w:sz w:val="24"/>
          <w:szCs w:val="24"/>
        </w:rPr>
        <w:t xml:space="preserve"> because it is one of the first cases in the 9</w:t>
      </w:r>
      <w:r w:rsidRPr="001B0195">
        <w:rPr>
          <w:sz w:val="24"/>
          <w:szCs w:val="24"/>
          <w:vertAlign w:val="superscript"/>
        </w:rPr>
        <w:t>th</w:t>
      </w:r>
      <w:r w:rsidRPr="001B0195">
        <w:rPr>
          <w:sz w:val="24"/>
          <w:szCs w:val="24"/>
        </w:rPr>
        <w:t xml:space="preserve"> Circuit in many years to define the parameters and use of an 1111b election to combat an attempted strip off of a lien in a Chapter 11 case. </w:t>
      </w:r>
    </w:p>
    <w:p w:rsidR="00084F71" w:rsidRDefault="00084F71" w:rsidP="00084F71">
      <w:pPr>
        <w:rPr>
          <w:b/>
          <w:color w:val="1F497D"/>
          <w:sz w:val="24"/>
          <w:szCs w:val="24"/>
        </w:rPr>
      </w:pPr>
    </w:p>
    <w:p w:rsidR="00084F71" w:rsidRPr="00745003" w:rsidRDefault="00084F71" w:rsidP="00084F71">
      <w:pPr>
        <w:rPr>
          <w:b/>
          <w:bCs/>
          <w:sz w:val="24"/>
          <w:szCs w:val="24"/>
        </w:rPr>
      </w:pPr>
      <w:proofErr w:type="gramStart"/>
      <w:r w:rsidRPr="00D638A7">
        <w:rPr>
          <w:b/>
          <w:color w:val="1F497D"/>
          <w:sz w:val="24"/>
          <w:szCs w:val="24"/>
        </w:rPr>
        <w:t xml:space="preserve">In re Reggie </w:t>
      </w:r>
      <w:proofErr w:type="spellStart"/>
      <w:r w:rsidRPr="00D638A7">
        <w:rPr>
          <w:b/>
          <w:color w:val="1F497D"/>
          <w:sz w:val="24"/>
          <w:szCs w:val="24"/>
        </w:rPr>
        <w:t>Ong</w:t>
      </w:r>
      <w:proofErr w:type="spellEnd"/>
      <w:r w:rsidRPr="00D638A7">
        <w:rPr>
          <w:b/>
          <w:color w:val="1F497D"/>
          <w:sz w:val="24"/>
          <w:szCs w:val="24"/>
        </w:rPr>
        <w:t>, BAP No.</w:t>
      </w:r>
      <w:proofErr w:type="gramEnd"/>
      <w:r w:rsidRPr="00D638A7">
        <w:rPr>
          <w:b/>
          <w:color w:val="1F497D"/>
          <w:sz w:val="24"/>
          <w:szCs w:val="24"/>
        </w:rPr>
        <w:t xml:space="preserve"> NC-10-1192-HBaJu</w:t>
      </w:r>
      <w:r w:rsidRPr="00745003">
        <w:rPr>
          <w:sz w:val="24"/>
          <w:szCs w:val="24"/>
        </w:rPr>
        <w:t xml:space="preserve"> (9th Cir. BAP, Filed June 29, 2011)</w:t>
      </w:r>
      <w:r>
        <w:rPr>
          <w:sz w:val="24"/>
          <w:szCs w:val="24"/>
        </w:rPr>
        <w:t xml:space="preserve">. </w:t>
      </w:r>
      <w:r w:rsidRPr="00745003">
        <w:rPr>
          <w:sz w:val="24"/>
          <w:szCs w:val="24"/>
        </w:rPr>
        <w:t xml:space="preserve"> </w:t>
      </w:r>
      <w:proofErr w:type="gramStart"/>
      <w:r w:rsidRPr="00745003">
        <w:rPr>
          <w:sz w:val="24"/>
          <w:szCs w:val="24"/>
        </w:rPr>
        <w:t>Successful appeal of bankruptcy court order denying entry of</w:t>
      </w:r>
      <w:r>
        <w:rPr>
          <w:sz w:val="24"/>
          <w:szCs w:val="24"/>
        </w:rPr>
        <w:t xml:space="preserve"> creditor</w:t>
      </w:r>
      <w:r w:rsidRPr="00745003">
        <w:rPr>
          <w:sz w:val="24"/>
          <w:szCs w:val="24"/>
        </w:rPr>
        <w:t xml:space="preserve"> reaffirmati</w:t>
      </w:r>
      <w:r>
        <w:rPr>
          <w:sz w:val="24"/>
          <w:szCs w:val="24"/>
        </w:rPr>
        <w:t>on agreement.</w:t>
      </w:r>
      <w:proofErr w:type="gramEnd"/>
      <w:r>
        <w:rPr>
          <w:sz w:val="24"/>
          <w:szCs w:val="24"/>
        </w:rPr>
        <w:t xml:space="preserve"> </w:t>
      </w:r>
      <w:proofErr w:type="gramStart"/>
      <w:r>
        <w:rPr>
          <w:sz w:val="24"/>
          <w:szCs w:val="24"/>
        </w:rPr>
        <w:t>Case of first impression in the 9</w:t>
      </w:r>
      <w:r w:rsidRPr="00745003">
        <w:rPr>
          <w:sz w:val="24"/>
          <w:szCs w:val="24"/>
          <w:vertAlign w:val="superscript"/>
        </w:rPr>
        <w:t>th</w:t>
      </w:r>
      <w:r>
        <w:rPr>
          <w:sz w:val="24"/>
          <w:szCs w:val="24"/>
        </w:rPr>
        <w:t xml:space="preserve"> Circuit</w:t>
      </w:r>
      <w:r w:rsidRPr="00745003">
        <w:rPr>
          <w:sz w:val="24"/>
          <w:szCs w:val="24"/>
        </w:rPr>
        <w:t>.</w:t>
      </w:r>
      <w:proofErr w:type="gramEnd"/>
      <w:r w:rsidRPr="00745003">
        <w:rPr>
          <w:sz w:val="24"/>
          <w:szCs w:val="24"/>
        </w:rPr>
        <w:t xml:space="preserve"> </w:t>
      </w:r>
      <w:r w:rsidRPr="00745003">
        <w:rPr>
          <w:sz w:val="24"/>
          <w:szCs w:val="24"/>
        </w:rPr>
        <w:br/>
      </w:r>
      <w:r w:rsidRPr="00745003">
        <w:rPr>
          <w:sz w:val="24"/>
          <w:szCs w:val="24"/>
        </w:rPr>
        <w:br/>
      </w:r>
      <w:hyperlink r:id="rId9" w:tgtFrame="x" w:tooltip="Clicking this link retrieves the full text document in another window" w:history="1">
        <w:r w:rsidRPr="00745003">
          <w:rPr>
            <w:rStyle w:val="Hyperlink"/>
            <w:b/>
            <w:bCs/>
            <w:sz w:val="24"/>
            <w:szCs w:val="24"/>
          </w:rPr>
          <w:t>In re 600 Ala. LLC, 2010 U.S. Dist. LEXIS 108722 (N.D. Cal. Sept. 28, 2010)</w:t>
        </w:r>
      </w:hyperlink>
      <w:r>
        <w:rPr>
          <w:b/>
          <w:bCs/>
          <w:sz w:val="24"/>
          <w:szCs w:val="24"/>
        </w:rPr>
        <w:t>.</w:t>
      </w:r>
      <w:r w:rsidRPr="00745003">
        <w:rPr>
          <w:bCs/>
          <w:sz w:val="24"/>
          <w:szCs w:val="24"/>
        </w:rPr>
        <w:t xml:space="preserve"> Successful appeal of</w:t>
      </w:r>
      <w:r>
        <w:rPr>
          <w:bCs/>
          <w:sz w:val="24"/>
          <w:szCs w:val="24"/>
        </w:rPr>
        <w:t xml:space="preserve"> decision by the bankruptcy court, governing s</w:t>
      </w:r>
      <w:r w:rsidRPr="00745003">
        <w:rPr>
          <w:bCs/>
          <w:sz w:val="24"/>
          <w:szCs w:val="24"/>
        </w:rPr>
        <w:t>tandards</w:t>
      </w:r>
      <w:r>
        <w:rPr>
          <w:bCs/>
          <w:sz w:val="24"/>
          <w:szCs w:val="24"/>
        </w:rPr>
        <w:t xml:space="preserve"> to be applied when </w:t>
      </w:r>
      <w:proofErr w:type="gramStart"/>
      <w:r>
        <w:rPr>
          <w:bCs/>
          <w:sz w:val="24"/>
          <w:szCs w:val="24"/>
        </w:rPr>
        <w:t>considering  r</w:t>
      </w:r>
      <w:r w:rsidRPr="00745003">
        <w:rPr>
          <w:bCs/>
          <w:sz w:val="24"/>
          <w:szCs w:val="24"/>
        </w:rPr>
        <w:t>emoval</w:t>
      </w:r>
      <w:proofErr w:type="gramEnd"/>
      <w:r>
        <w:rPr>
          <w:bCs/>
          <w:sz w:val="24"/>
          <w:szCs w:val="24"/>
        </w:rPr>
        <w:t xml:space="preserve"> of  bankruptcy t</w:t>
      </w:r>
      <w:r w:rsidRPr="00745003">
        <w:rPr>
          <w:bCs/>
          <w:sz w:val="24"/>
          <w:szCs w:val="24"/>
        </w:rPr>
        <w:t>rustee.</w:t>
      </w:r>
    </w:p>
    <w:p w:rsidR="00084F71" w:rsidRPr="00745003" w:rsidRDefault="00084F71" w:rsidP="00084F71">
      <w:pPr>
        <w:rPr>
          <w:b/>
          <w:bCs/>
          <w:sz w:val="24"/>
          <w:szCs w:val="24"/>
        </w:rPr>
      </w:pPr>
    </w:p>
    <w:p w:rsidR="00084F71" w:rsidRPr="00745003" w:rsidRDefault="00084F71" w:rsidP="00084F71">
      <w:pPr>
        <w:rPr>
          <w:sz w:val="24"/>
          <w:szCs w:val="24"/>
        </w:rPr>
      </w:pPr>
      <w:hyperlink r:id="rId10" w:tgtFrame="x" w:tooltip="Clicking this link retrieves the full text document in another window" w:history="1">
        <w:r w:rsidRPr="00745003">
          <w:rPr>
            <w:rStyle w:val="Hyperlink"/>
            <w:b/>
            <w:bCs/>
            <w:sz w:val="24"/>
            <w:szCs w:val="24"/>
          </w:rPr>
          <w:t xml:space="preserve">Brewer v. </w:t>
        </w:r>
        <w:proofErr w:type="spellStart"/>
        <w:r w:rsidRPr="00745003">
          <w:rPr>
            <w:rStyle w:val="Hyperlink"/>
            <w:b/>
            <w:bCs/>
            <w:sz w:val="24"/>
            <w:szCs w:val="24"/>
          </w:rPr>
          <w:t>Indymac</w:t>
        </w:r>
        <w:proofErr w:type="spellEnd"/>
        <w:r w:rsidRPr="00745003">
          <w:rPr>
            <w:rStyle w:val="Hyperlink"/>
            <w:b/>
            <w:bCs/>
            <w:sz w:val="24"/>
            <w:szCs w:val="24"/>
          </w:rPr>
          <w:t xml:space="preserve"> Bank, 2009 U.S. Dist. LEXIS 81657 (E.D. Cal. Sept. 8, 2009)</w:t>
        </w:r>
      </w:hyperlink>
      <w:r>
        <w:rPr>
          <w:b/>
          <w:bCs/>
          <w:sz w:val="24"/>
          <w:szCs w:val="24"/>
        </w:rPr>
        <w:t xml:space="preserve">. </w:t>
      </w:r>
      <w:r>
        <w:rPr>
          <w:bCs/>
          <w:sz w:val="24"/>
          <w:szCs w:val="24"/>
        </w:rPr>
        <w:t xml:space="preserve">Motion to </w:t>
      </w:r>
      <w:proofErr w:type="gramStart"/>
      <w:r>
        <w:rPr>
          <w:bCs/>
          <w:sz w:val="24"/>
          <w:szCs w:val="24"/>
        </w:rPr>
        <w:t>Dismiss</w:t>
      </w:r>
      <w:proofErr w:type="gramEnd"/>
      <w:r>
        <w:rPr>
          <w:bCs/>
          <w:sz w:val="24"/>
          <w:szCs w:val="24"/>
        </w:rPr>
        <w:t xml:space="preserve"> borrower c</w:t>
      </w:r>
      <w:r w:rsidRPr="00745003">
        <w:rPr>
          <w:bCs/>
          <w:sz w:val="24"/>
          <w:szCs w:val="24"/>
        </w:rPr>
        <w:t>laims against Lender</w:t>
      </w:r>
      <w:r>
        <w:rPr>
          <w:bCs/>
          <w:sz w:val="24"/>
          <w:szCs w:val="24"/>
        </w:rPr>
        <w:t>.</w:t>
      </w:r>
      <w:r w:rsidRPr="00745003">
        <w:rPr>
          <w:b/>
          <w:bCs/>
          <w:sz w:val="24"/>
          <w:szCs w:val="24"/>
        </w:rPr>
        <w:br/>
      </w:r>
      <w:r w:rsidRPr="00745003">
        <w:rPr>
          <w:sz w:val="24"/>
          <w:szCs w:val="24"/>
        </w:rPr>
        <w:br/>
      </w:r>
      <w:hyperlink r:id="rId11" w:tgtFrame="x" w:tooltip="Clicking this link retrieves the full text document in another window" w:history="1">
        <w:proofErr w:type="spellStart"/>
        <w:proofErr w:type="gramStart"/>
        <w:r w:rsidRPr="00745003">
          <w:rPr>
            <w:rStyle w:val="Hyperlink"/>
            <w:b/>
            <w:bCs/>
            <w:sz w:val="24"/>
            <w:szCs w:val="24"/>
          </w:rPr>
          <w:t>Qari</w:t>
        </w:r>
        <w:proofErr w:type="spellEnd"/>
        <w:r w:rsidRPr="00745003">
          <w:rPr>
            <w:rStyle w:val="Hyperlink"/>
            <w:b/>
            <w:bCs/>
            <w:sz w:val="24"/>
            <w:szCs w:val="24"/>
          </w:rPr>
          <w:t xml:space="preserve"> v. </w:t>
        </w:r>
        <w:proofErr w:type="spellStart"/>
        <w:r w:rsidRPr="00745003">
          <w:rPr>
            <w:rStyle w:val="Hyperlink"/>
            <w:b/>
            <w:bCs/>
            <w:sz w:val="24"/>
            <w:szCs w:val="24"/>
          </w:rPr>
          <w:t>Patelco</w:t>
        </w:r>
        <w:proofErr w:type="spellEnd"/>
        <w:r w:rsidRPr="00745003">
          <w:rPr>
            <w:rStyle w:val="Hyperlink"/>
            <w:b/>
            <w:bCs/>
            <w:sz w:val="24"/>
            <w:szCs w:val="24"/>
          </w:rPr>
          <w:t xml:space="preserve"> Credit Union (In re </w:t>
        </w:r>
        <w:proofErr w:type="spellStart"/>
        <w:r w:rsidRPr="00745003">
          <w:rPr>
            <w:rStyle w:val="Hyperlink"/>
            <w:b/>
            <w:bCs/>
            <w:sz w:val="24"/>
            <w:szCs w:val="24"/>
          </w:rPr>
          <w:t>Qari</w:t>
        </w:r>
        <w:proofErr w:type="spellEnd"/>
        <w:r w:rsidRPr="00745003">
          <w:rPr>
            <w:rStyle w:val="Hyperlink"/>
            <w:b/>
            <w:bCs/>
            <w:sz w:val="24"/>
            <w:szCs w:val="24"/>
          </w:rPr>
          <w:t>), 357 B.R. 793 (</w:t>
        </w:r>
        <w:proofErr w:type="spellStart"/>
        <w:r w:rsidRPr="00745003">
          <w:rPr>
            <w:rStyle w:val="Hyperlink"/>
            <w:b/>
            <w:bCs/>
            <w:sz w:val="24"/>
            <w:szCs w:val="24"/>
          </w:rPr>
          <w:t>Bankr</w:t>
        </w:r>
        <w:proofErr w:type="spellEnd"/>
        <w:r w:rsidRPr="00745003">
          <w:rPr>
            <w:rStyle w:val="Hyperlink"/>
            <w:b/>
            <w:bCs/>
            <w:sz w:val="24"/>
            <w:szCs w:val="24"/>
          </w:rPr>
          <w:t>.</w:t>
        </w:r>
        <w:proofErr w:type="gramEnd"/>
        <w:r w:rsidRPr="00745003">
          <w:rPr>
            <w:rStyle w:val="Hyperlink"/>
            <w:b/>
            <w:bCs/>
            <w:sz w:val="24"/>
            <w:szCs w:val="24"/>
          </w:rPr>
          <w:t xml:space="preserve"> N.D. Cal. 2006)</w:t>
        </w:r>
      </w:hyperlink>
      <w:r>
        <w:rPr>
          <w:b/>
          <w:bCs/>
          <w:sz w:val="24"/>
          <w:szCs w:val="24"/>
        </w:rPr>
        <w:t xml:space="preserve">. </w:t>
      </w:r>
      <w:r w:rsidRPr="00745003">
        <w:rPr>
          <w:bCs/>
          <w:sz w:val="24"/>
          <w:szCs w:val="24"/>
        </w:rPr>
        <w:t>Prevailed in T</w:t>
      </w:r>
      <w:r>
        <w:rPr>
          <w:bCs/>
          <w:sz w:val="24"/>
          <w:szCs w:val="24"/>
        </w:rPr>
        <w:t>rial to determine discharge of debt in b</w:t>
      </w:r>
      <w:r w:rsidRPr="00745003">
        <w:rPr>
          <w:bCs/>
          <w:sz w:val="24"/>
          <w:szCs w:val="24"/>
        </w:rPr>
        <w:t>ankruptcy</w:t>
      </w:r>
      <w:r>
        <w:rPr>
          <w:bCs/>
          <w:sz w:val="24"/>
          <w:szCs w:val="24"/>
        </w:rPr>
        <w:t xml:space="preserve"> proceeding</w:t>
      </w:r>
      <w:proofErr w:type="gramStart"/>
      <w:r>
        <w:rPr>
          <w:bCs/>
          <w:sz w:val="24"/>
          <w:szCs w:val="24"/>
        </w:rPr>
        <w:t xml:space="preserve">, </w:t>
      </w:r>
      <w:r w:rsidRPr="00745003">
        <w:rPr>
          <w:bCs/>
          <w:sz w:val="24"/>
          <w:szCs w:val="24"/>
        </w:rPr>
        <w:t xml:space="preserve"> based</w:t>
      </w:r>
      <w:proofErr w:type="gramEnd"/>
      <w:r w:rsidRPr="00745003">
        <w:rPr>
          <w:bCs/>
          <w:sz w:val="24"/>
          <w:szCs w:val="24"/>
        </w:rPr>
        <w:t xml:space="preserve"> on consumer and commercial fraud</w:t>
      </w:r>
      <w:r>
        <w:rPr>
          <w:bCs/>
          <w:sz w:val="24"/>
          <w:szCs w:val="24"/>
        </w:rPr>
        <w:t xml:space="preserve"> claims of Lender</w:t>
      </w:r>
      <w:r w:rsidRPr="00745003">
        <w:rPr>
          <w:bCs/>
          <w:sz w:val="24"/>
          <w:szCs w:val="24"/>
        </w:rPr>
        <w:t>.</w:t>
      </w:r>
      <w:r w:rsidRPr="00745003">
        <w:rPr>
          <w:b/>
          <w:bCs/>
          <w:sz w:val="24"/>
          <w:szCs w:val="24"/>
        </w:rPr>
        <w:br/>
      </w:r>
    </w:p>
    <w:p w:rsidR="00084F71" w:rsidRPr="00745003" w:rsidRDefault="00084F71" w:rsidP="00084F71">
      <w:pPr>
        <w:rPr>
          <w:sz w:val="24"/>
          <w:szCs w:val="24"/>
        </w:rPr>
      </w:pPr>
      <w:hyperlink r:id="rId12" w:tgtFrame="x" w:tooltip="Clicking this link retrieves the full text document in another window" w:history="1">
        <w:proofErr w:type="gramStart"/>
        <w:r w:rsidRPr="00745003">
          <w:rPr>
            <w:rStyle w:val="Hyperlink"/>
            <w:b/>
            <w:bCs/>
            <w:sz w:val="24"/>
            <w:szCs w:val="24"/>
          </w:rPr>
          <w:t>In re Elm Inn, Inc., 942 F.2d 630 (9th Cir. 1991)</w:t>
        </w:r>
      </w:hyperlink>
      <w:r>
        <w:rPr>
          <w:b/>
          <w:bCs/>
          <w:sz w:val="24"/>
          <w:szCs w:val="24"/>
        </w:rPr>
        <w:t>.</w:t>
      </w:r>
      <w:proofErr w:type="gramEnd"/>
      <w:r>
        <w:rPr>
          <w:b/>
          <w:bCs/>
          <w:sz w:val="24"/>
          <w:szCs w:val="24"/>
        </w:rPr>
        <w:t xml:space="preserve"> </w:t>
      </w:r>
      <w:proofErr w:type="gramStart"/>
      <w:r w:rsidRPr="00745003">
        <w:rPr>
          <w:bCs/>
          <w:sz w:val="24"/>
          <w:szCs w:val="24"/>
        </w:rPr>
        <w:t>Successful appeal of case involving assumption or rejection of lease under bankruptcy law</w:t>
      </w:r>
      <w:r>
        <w:rPr>
          <w:bCs/>
          <w:sz w:val="24"/>
          <w:szCs w:val="24"/>
        </w:rPr>
        <w:t xml:space="preserve"> and impact on Lender fee interest in real property</w:t>
      </w:r>
      <w:r w:rsidRPr="00745003">
        <w:rPr>
          <w:b/>
          <w:bCs/>
          <w:sz w:val="24"/>
          <w:szCs w:val="24"/>
        </w:rPr>
        <w:t>.</w:t>
      </w:r>
      <w:proofErr w:type="gramEnd"/>
      <w:r w:rsidRPr="00745003">
        <w:rPr>
          <w:b/>
          <w:bCs/>
          <w:sz w:val="24"/>
          <w:szCs w:val="24"/>
        </w:rPr>
        <w:br/>
      </w:r>
    </w:p>
    <w:p w:rsidR="00084F71" w:rsidRDefault="00084F71" w:rsidP="00084F71">
      <w:pPr>
        <w:rPr>
          <w:sz w:val="24"/>
        </w:rPr>
      </w:pPr>
      <w:r w:rsidRPr="00247D30">
        <w:rPr>
          <w:b/>
          <w:sz w:val="24"/>
          <w:u w:val="single"/>
        </w:rPr>
        <w:t xml:space="preserve">Mr. </w:t>
      </w:r>
      <w:proofErr w:type="spellStart"/>
      <w:r w:rsidRPr="00247D30">
        <w:rPr>
          <w:b/>
          <w:sz w:val="24"/>
          <w:u w:val="single"/>
        </w:rPr>
        <w:t>Scheer’s</w:t>
      </w:r>
      <w:proofErr w:type="spellEnd"/>
      <w:r w:rsidRPr="00247D30">
        <w:rPr>
          <w:b/>
          <w:sz w:val="24"/>
          <w:u w:val="single"/>
        </w:rPr>
        <w:t xml:space="preserve"> published topical articles include</w:t>
      </w:r>
      <w:r>
        <w:rPr>
          <w:sz w:val="24"/>
        </w:rPr>
        <w:t>:</w:t>
      </w:r>
    </w:p>
    <w:p w:rsidR="00084F71" w:rsidRDefault="00084F71" w:rsidP="00084F71">
      <w:pPr>
        <w:rPr>
          <w:sz w:val="24"/>
        </w:rPr>
      </w:pPr>
    </w:p>
    <w:p w:rsidR="00084F71" w:rsidRDefault="00084F71" w:rsidP="00084F71">
      <w:pPr>
        <w:rPr>
          <w:sz w:val="24"/>
          <w:szCs w:val="24"/>
        </w:rPr>
      </w:pPr>
      <w:r>
        <w:rPr>
          <w:sz w:val="24"/>
          <w:szCs w:val="24"/>
        </w:rPr>
        <w:t>“</w:t>
      </w:r>
      <w:r w:rsidRPr="009D45D4">
        <w:rPr>
          <w:b/>
          <w:i/>
          <w:iCs/>
          <w:sz w:val="24"/>
          <w:szCs w:val="24"/>
        </w:rPr>
        <w:t xml:space="preserve">To </w:t>
      </w:r>
      <w:proofErr w:type="gramStart"/>
      <w:r w:rsidRPr="009D45D4">
        <w:rPr>
          <w:b/>
          <w:i/>
          <w:iCs/>
          <w:sz w:val="24"/>
          <w:szCs w:val="24"/>
        </w:rPr>
        <w:t>Remove</w:t>
      </w:r>
      <w:proofErr w:type="gramEnd"/>
      <w:r w:rsidRPr="009D45D4">
        <w:rPr>
          <w:b/>
          <w:i/>
          <w:iCs/>
          <w:sz w:val="24"/>
          <w:szCs w:val="24"/>
        </w:rPr>
        <w:t xml:space="preserve"> or not to Remove? That is the Question.  Then what Happens</w:t>
      </w:r>
      <w:r>
        <w:rPr>
          <w:sz w:val="24"/>
          <w:szCs w:val="24"/>
        </w:rPr>
        <w:t xml:space="preserve">? </w:t>
      </w:r>
      <w:proofErr w:type="gramStart"/>
      <w:r>
        <w:rPr>
          <w:sz w:val="24"/>
          <w:szCs w:val="24"/>
        </w:rPr>
        <w:t>(United Trustees Association Quarterly (Spring 2011).</w:t>
      </w:r>
      <w:proofErr w:type="gramEnd"/>
    </w:p>
    <w:p w:rsidR="00084F71" w:rsidRDefault="00084F71" w:rsidP="00084F71">
      <w:pPr>
        <w:rPr>
          <w:sz w:val="24"/>
        </w:rPr>
      </w:pPr>
    </w:p>
    <w:p w:rsidR="00084F71" w:rsidRDefault="00084F71" w:rsidP="00084F71">
      <w:pPr>
        <w:rPr>
          <w:sz w:val="24"/>
        </w:rPr>
      </w:pPr>
      <w:r>
        <w:rPr>
          <w:sz w:val="24"/>
        </w:rPr>
        <w:t>“</w:t>
      </w:r>
      <w:r w:rsidRPr="009D45D4">
        <w:rPr>
          <w:b/>
          <w:i/>
          <w:sz w:val="24"/>
        </w:rPr>
        <w:t>Retail TIC Financing-A New Frontier</w:t>
      </w:r>
      <w:r>
        <w:rPr>
          <w:sz w:val="24"/>
        </w:rPr>
        <w:t>” UTA Quarterly (Summer 2006)</w:t>
      </w:r>
    </w:p>
    <w:p w:rsidR="00084F71" w:rsidRDefault="00084F71" w:rsidP="00084F71">
      <w:pPr>
        <w:rPr>
          <w:sz w:val="24"/>
        </w:rPr>
      </w:pPr>
    </w:p>
    <w:p w:rsidR="00084F71" w:rsidRDefault="00084F71" w:rsidP="00084F71">
      <w:pPr>
        <w:rPr>
          <w:sz w:val="24"/>
        </w:rPr>
      </w:pPr>
      <w:proofErr w:type="gramStart"/>
      <w:r>
        <w:rPr>
          <w:sz w:val="24"/>
        </w:rPr>
        <w:t>“</w:t>
      </w:r>
      <w:r w:rsidRPr="009D45D4">
        <w:rPr>
          <w:b/>
          <w:i/>
          <w:iCs/>
          <w:sz w:val="24"/>
        </w:rPr>
        <w:t>The Bankruptcy Discharge and Post-Discharge Communications and Agreements</w:t>
      </w:r>
      <w:r>
        <w:rPr>
          <w:sz w:val="24"/>
        </w:rPr>
        <w:t>” (United Trustee’s Association Newsletter), December 2004.</w:t>
      </w:r>
      <w:proofErr w:type="gramEnd"/>
    </w:p>
    <w:p w:rsidR="00084F71" w:rsidRPr="00D70B63" w:rsidRDefault="00084F71" w:rsidP="00084F71">
      <w:pPr>
        <w:rPr>
          <w:b/>
          <w:sz w:val="24"/>
        </w:rPr>
      </w:pPr>
    </w:p>
    <w:p w:rsidR="00084F71" w:rsidRDefault="00084F71" w:rsidP="00084F71">
      <w:pPr>
        <w:outlineLvl w:val="0"/>
        <w:rPr>
          <w:sz w:val="24"/>
        </w:rPr>
      </w:pPr>
      <w:r w:rsidRPr="00D70B63">
        <w:rPr>
          <w:b/>
          <w:sz w:val="24"/>
        </w:rPr>
        <w:t>“</w:t>
      </w:r>
      <w:r w:rsidRPr="00D70B63">
        <w:rPr>
          <w:b/>
          <w:i/>
          <w:iCs/>
          <w:sz w:val="24"/>
        </w:rPr>
        <w:t>When is a Foreclosure Final</w:t>
      </w:r>
      <w:r>
        <w:rPr>
          <w:sz w:val="24"/>
        </w:rPr>
        <w:t>?”  Mortgage Finance, (CMBA), January/ February 1998.</w:t>
      </w:r>
    </w:p>
    <w:p w:rsidR="00084F71" w:rsidRDefault="00084F71" w:rsidP="00084F71">
      <w:pPr>
        <w:rPr>
          <w:sz w:val="24"/>
        </w:rPr>
      </w:pPr>
    </w:p>
    <w:p w:rsidR="00084F71" w:rsidRDefault="00084F71" w:rsidP="00084F71">
      <w:pPr>
        <w:outlineLvl w:val="0"/>
        <w:rPr>
          <w:sz w:val="24"/>
        </w:rPr>
      </w:pPr>
      <w:r>
        <w:rPr>
          <w:sz w:val="24"/>
        </w:rPr>
        <w:t>“</w:t>
      </w:r>
      <w:r w:rsidRPr="00D70B63">
        <w:rPr>
          <w:b/>
          <w:i/>
          <w:iCs/>
          <w:sz w:val="24"/>
        </w:rPr>
        <w:t>What Ever Happened to Bankruptcy Reform</w:t>
      </w:r>
      <w:r>
        <w:rPr>
          <w:sz w:val="24"/>
        </w:rPr>
        <w:t>?”  Mortgage Finance, (CMBA), October 1995</w:t>
      </w:r>
    </w:p>
    <w:p w:rsidR="00084F71" w:rsidRDefault="00084F71" w:rsidP="00084F71">
      <w:pPr>
        <w:rPr>
          <w:sz w:val="24"/>
        </w:rPr>
      </w:pPr>
    </w:p>
    <w:p w:rsidR="00084F71" w:rsidRDefault="00084F71" w:rsidP="00084F71">
      <w:pPr>
        <w:outlineLvl w:val="0"/>
        <w:rPr>
          <w:sz w:val="24"/>
        </w:rPr>
      </w:pPr>
      <w:r>
        <w:rPr>
          <w:sz w:val="24"/>
        </w:rPr>
        <w:t>“</w:t>
      </w:r>
      <w:proofErr w:type="spellStart"/>
      <w:r w:rsidRPr="00D70B63">
        <w:rPr>
          <w:b/>
          <w:i/>
          <w:iCs/>
          <w:sz w:val="24"/>
        </w:rPr>
        <w:t>Cramdown</w:t>
      </w:r>
      <w:proofErr w:type="spellEnd"/>
      <w:r w:rsidRPr="00D70B63">
        <w:rPr>
          <w:b/>
          <w:i/>
          <w:iCs/>
          <w:sz w:val="24"/>
        </w:rPr>
        <w:t xml:space="preserve"> of the Deflationary Monster</w:t>
      </w:r>
      <w:r>
        <w:rPr>
          <w:sz w:val="24"/>
        </w:rPr>
        <w:t>,</w:t>
      </w:r>
      <w:proofErr w:type="gramStart"/>
      <w:r>
        <w:rPr>
          <w:sz w:val="24"/>
        </w:rPr>
        <w:t>”  Mortgage</w:t>
      </w:r>
      <w:proofErr w:type="gramEnd"/>
      <w:r>
        <w:rPr>
          <w:sz w:val="24"/>
        </w:rPr>
        <w:t xml:space="preserve"> Finance, (CMBA), August 1993</w:t>
      </w:r>
    </w:p>
    <w:p w:rsidR="00084F71" w:rsidRDefault="00084F71" w:rsidP="00084F71">
      <w:pPr>
        <w:rPr>
          <w:sz w:val="24"/>
        </w:rPr>
      </w:pPr>
    </w:p>
    <w:p w:rsidR="00084F71" w:rsidRDefault="00084F71" w:rsidP="00084F71">
      <w:pPr>
        <w:outlineLvl w:val="0"/>
        <w:rPr>
          <w:sz w:val="24"/>
        </w:rPr>
      </w:pPr>
      <w:r>
        <w:rPr>
          <w:sz w:val="24"/>
        </w:rPr>
        <w:t>“</w:t>
      </w:r>
      <w:r w:rsidRPr="00D70B63">
        <w:rPr>
          <w:b/>
          <w:i/>
          <w:iCs/>
          <w:sz w:val="24"/>
        </w:rPr>
        <w:t>Repeat Bankruptcy Filings-The Scourge of 1991</w:t>
      </w:r>
      <w:r w:rsidRPr="00D70B63">
        <w:rPr>
          <w:b/>
          <w:sz w:val="24"/>
        </w:rPr>
        <w:t>,”</w:t>
      </w:r>
      <w:r>
        <w:rPr>
          <w:sz w:val="24"/>
        </w:rPr>
        <w:t xml:space="preserve"> CMBA News, Vol. 18, No. 4 April 1991</w:t>
      </w:r>
    </w:p>
    <w:p w:rsidR="00084F71" w:rsidRDefault="00084F71" w:rsidP="00084F71">
      <w:pPr>
        <w:pStyle w:val="Footer"/>
        <w:keepLines w:val="0"/>
        <w:tabs>
          <w:tab w:val="clear" w:pos="4320"/>
          <w:tab w:val="clear" w:pos="9480"/>
        </w:tabs>
        <w:spacing w:before="0" w:line="240" w:lineRule="auto"/>
        <w:rPr>
          <w:rFonts w:ascii="Times New Roman" w:hAnsi="Times New Roman"/>
          <w:caps w:val="0"/>
          <w:spacing w:val="0"/>
        </w:rPr>
      </w:pPr>
    </w:p>
    <w:p w:rsidR="00084F71" w:rsidRDefault="00084F71" w:rsidP="00084F71">
      <w:pPr>
        <w:outlineLvl w:val="0"/>
        <w:rPr>
          <w:sz w:val="24"/>
        </w:rPr>
      </w:pPr>
      <w:proofErr w:type="gramStart"/>
      <w:r>
        <w:rPr>
          <w:sz w:val="24"/>
        </w:rPr>
        <w:lastRenderedPageBreak/>
        <w:t>“</w:t>
      </w:r>
      <w:r w:rsidRPr="00D70B63">
        <w:rPr>
          <w:b/>
          <w:i/>
          <w:iCs/>
          <w:sz w:val="24"/>
        </w:rPr>
        <w:t>Non judicial Foreclosure-The End of the Road to Obtaining Your Security</w:t>
      </w:r>
      <w:r>
        <w:rPr>
          <w:sz w:val="24"/>
        </w:rPr>
        <w:t>?”</w:t>
      </w:r>
      <w:proofErr w:type="gramEnd"/>
      <w:r>
        <w:rPr>
          <w:sz w:val="24"/>
        </w:rPr>
        <w:t xml:space="preserve">  CMBA News, Vol.17, No. 12, December 1991.</w:t>
      </w:r>
    </w:p>
    <w:p w:rsidR="00084F71" w:rsidRDefault="00084F71" w:rsidP="00084F71">
      <w:pPr>
        <w:outlineLvl w:val="0"/>
        <w:rPr>
          <w:sz w:val="24"/>
        </w:rPr>
      </w:pPr>
    </w:p>
    <w:p w:rsidR="00084F71" w:rsidRDefault="00084F71" w:rsidP="00084F71">
      <w:pPr>
        <w:pStyle w:val="NormalWeb"/>
      </w:pPr>
      <w:r>
        <w:t xml:space="preserve">Mr. Scheer has been a speaker on issues affecting lender/ servicer rights at numerous seminars, and conventions including: California Mortgage Bankers Association, United Trustee’s Association, California Credit Union Collectors Council, Marin County Bar Association-Real Property Section, and the Northern California Consumer Bankruptcy Conference. </w:t>
      </w:r>
    </w:p>
    <w:p w:rsidR="00084F71" w:rsidRDefault="00084F71" w:rsidP="00084F71">
      <w:pPr>
        <w:pStyle w:val="NormalWeb"/>
      </w:pPr>
      <w:r>
        <w:t>Mr. Scheer is also a lecturer and speaker for the California State Bar Association and was a panelist at California State Bar Association Annual Real Property Law Section Retreat, Napa, CA, (</w:t>
      </w:r>
      <w:r w:rsidRPr="007B09BB">
        <w:rPr>
          <w:b/>
          <w:i/>
        </w:rPr>
        <w:t xml:space="preserve">Subprime Mortgage Fallout-Lender Perspective </w:t>
      </w:r>
      <w:r>
        <w:t xml:space="preserve">(2010); a webinar presenter for the State of California Bar Association, Real Property Section, on </w:t>
      </w:r>
      <w:r w:rsidRPr="007B09BB">
        <w:rPr>
          <w:b/>
          <w:i/>
        </w:rPr>
        <w:t>Real Property</w:t>
      </w:r>
      <w:r>
        <w:t xml:space="preserve"> </w:t>
      </w:r>
      <w:r w:rsidRPr="007B09BB">
        <w:rPr>
          <w:b/>
          <w:i/>
        </w:rPr>
        <w:t>Foreclosure: Recent Legislation and &amp; Case Developments</w:t>
      </w:r>
      <w:r>
        <w:t xml:space="preserve"> (2011); and was a panelist for the State Bar of California at its Annual convention in Long Beach, CA (2011), </w:t>
      </w:r>
      <w:r w:rsidRPr="007B09BB">
        <w:rPr>
          <w:b/>
          <w:i/>
        </w:rPr>
        <w:t>Real Estate Foreclosure, How to Get it Right.</w:t>
      </w:r>
      <w:r>
        <w:t xml:space="preserve"> </w:t>
      </w:r>
    </w:p>
    <w:p w:rsidR="00084F71" w:rsidRDefault="00084F71" w:rsidP="00084F71">
      <w:pPr>
        <w:rPr>
          <w:sz w:val="24"/>
        </w:rPr>
      </w:pPr>
    </w:p>
    <w:p w:rsidR="00084F71" w:rsidRDefault="00084F71" w:rsidP="00084F71">
      <w:pPr>
        <w:rPr>
          <w:sz w:val="24"/>
        </w:rPr>
      </w:pPr>
      <w:r>
        <w:rPr>
          <w:sz w:val="24"/>
        </w:rPr>
        <w:t>Mr. Scheer  is  licensed attorney in the State of California and is a member of the State of California Real Property Law Section, Marin County Bar Association Real Property Law Section, United Trustee's Association (</w:t>
      </w:r>
      <w:proofErr w:type="spellStart"/>
      <w:r>
        <w:rPr>
          <w:sz w:val="24"/>
        </w:rPr>
        <w:t>fka</w:t>
      </w:r>
      <w:proofErr w:type="spellEnd"/>
      <w:r>
        <w:rPr>
          <w:sz w:val="24"/>
        </w:rPr>
        <w:t xml:space="preserve"> California Trustees Association),  and the California Credit Union Collectors Counsel.</w:t>
      </w:r>
    </w:p>
    <w:p w:rsidR="00084F71" w:rsidRDefault="00084F71" w:rsidP="00084F71">
      <w:pPr>
        <w:rPr>
          <w:sz w:val="24"/>
        </w:rPr>
      </w:pPr>
    </w:p>
    <w:p w:rsidR="00892733" w:rsidRDefault="00892733"/>
    <w:sectPr w:rsidR="00892733" w:rsidSect="008927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84F71"/>
    <w:rsid w:val="00084F71"/>
    <w:rsid w:val="00116DB4"/>
    <w:rsid w:val="0037098B"/>
    <w:rsid w:val="003A7E04"/>
    <w:rsid w:val="004A1902"/>
    <w:rsid w:val="005C3BD1"/>
    <w:rsid w:val="005E237C"/>
    <w:rsid w:val="006D13F2"/>
    <w:rsid w:val="00867AF3"/>
    <w:rsid w:val="00892733"/>
    <w:rsid w:val="008A0038"/>
    <w:rsid w:val="009A36D1"/>
    <w:rsid w:val="009B4B7E"/>
    <w:rsid w:val="00A06F8A"/>
    <w:rsid w:val="00A669F5"/>
    <w:rsid w:val="00E81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71"/>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084F71"/>
    <w:pPr>
      <w:keepNext/>
      <w:keepLines/>
      <w:pBdr>
        <w:top w:val="single" w:sz="6" w:space="6" w:color="808080"/>
        <w:bottom w:val="single" w:sz="6" w:space="6" w:color="808080"/>
      </w:pBdr>
      <w:spacing w:after="240" w:line="240" w:lineRule="atLeast"/>
      <w:jc w:val="center"/>
      <w:outlineLvl w:val="0"/>
    </w:pPr>
    <w:rPr>
      <w:rFonts w:ascii="Garamond" w:hAnsi="Garamond"/>
      <w:b/>
      <w:caps/>
      <w:spacing w:val="20"/>
      <w:kern w:val="16"/>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F71"/>
    <w:rPr>
      <w:rFonts w:ascii="Garamond" w:eastAsia="Times New Roman" w:hAnsi="Garamond" w:cs="Times New Roman"/>
      <w:b/>
      <w:caps/>
      <w:spacing w:val="20"/>
      <w:kern w:val="16"/>
      <w:sz w:val="24"/>
      <w:szCs w:val="20"/>
      <w:lang/>
    </w:rPr>
  </w:style>
  <w:style w:type="paragraph" w:styleId="Footer">
    <w:name w:val="footer"/>
    <w:basedOn w:val="Normal"/>
    <w:link w:val="FooterChar"/>
    <w:rsid w:val="00084F71"/>
    <w:pPr>
      <w:keepLines/>
      <w:tabs>
        <w:tab w:val="center" w:pos="4320"/>
        <w:tab w:val="right" w:pos="9480"/>
      </w:tabs>
      <w:spacing w:before="600" w:line="240" w:lineRule="atLeast"/>
    </w:pPr>
    <w:rPr>
      <w:rFonts w:ascii="Garamond" w:hAnsi="Garamond"/>
      <w:caps/>
      <w:spacing w:val="15"/>
      <w:sz w:val="24"/>
    </w:rPr>
  </w:style>
  <w:style w:type="character" w:customStyle="1" w:styleId="FooterChar">
    <w:name w:val="Footer Char"/>
    <w:basedOn w:val="DefaultParagraphFont"/>
    <w:link w:val="Footer"/>
    <w:rsid w:val="00084F71"/>
    <w:rPr>
      <w:rFonts w:ascii="Garamond" w:eastAsia="Times New Roman" w:hAnsi="Garamond" w:cs="Times New Roman"/>
      <w:caps/>
      <w:spacing w:val="15"/>
      <w:sz w:val="24"/>
      <w:szCs w:val="20"/>
    </w:rPr>
  </w:style>
  <w:style w:type="character" w:styleId="Hyperlink">
    <w:name w:val="Hyperlink"/>
    <w:uiPriority w:val="99"/>
    <w:rsid w:val="00084F71"/>
    <w:rPr>
      <w:color w:val="0000FF"/>
      <w:u w:val="single"/>
    </w:rPr>
  </w:style>
  <w:style w:type="paragraph" w:styleId="NormalWeb">
    <w:name w:val="Normal (Web)"/>
    <w:basedOn w:val="Normal"/>
    <w:uiPriority w:val="99"/>
    <w:unhideWhenUsed/>
    <w:rsid w:val="00084F71"/>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084F71"/>
    <w:pPr>
      <w:spacing w:after="120"/>
    </w:pPr>
  </w:style>
  <w:style w:type="character" w:customStyle="1" w:styleId="BodyTextChar">
    <w:name w:val="Body Text Char"/>
    <w:basedOn w:val="DefaultParagraphFont"/>
    <w:link w:val="BodyText"/>
    <w:uiPriority w:val="99"/>
    <w:semiHidden/>
    <w:rsid w:val="00084F7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s.com/research/xlink?app=00075&amp;view=full&amp;searchtype=get&amp;search=2011+Bankr.+LEXIS+455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xis.com/research/buttonTFLink?_m=71341d37a2aa14445ffddfdd9becc1cd&amp;_xfercite=%3ccite%20cc%3d%22USA%22%3e%3c%21%5bCDATA%5b2012%20Bankr.%20LEXIS%203418%5d%5d%3e%3c%2fcite%3e&amp;_butType=4&amp;_butStat=0&amp;_butNum=6&amp;_butInline=1&amp;_butinfo=11%20U.S.C.%20727&amp;_fmtstr=FULL&amp;docnum=3&amp;_startdoc=1&amp;wchp=dGLzVzt-zSkAW&amp;_md5=15911ecfbb06a84949f6c5a8d739ed1d" TargetMode="External"/><Relationship Id="rId12" Type="http://schemas.openxmlformats.org/officeDocument/2006/relationships/hyperlink" Target="http://www.lexis.com/research/xlink?app=00075&amp;view=full&amp;searchtype=get&amp;search=942+F.2d+6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xis.com/research/xlink?app=00075&amp;view=full&amp;searchtype=get&amp;search=2012+Bankr.+LEXIS+3418" TargetMode="External"/><Relationship Id="rId11" Type="http://schemas.openxmlformats.org/officeDocument/2006/relationships/hyperlink" Target="http://www.lexis.com/research/xlink?app=00075&amp;view=full&amp;searchtype=get&amp;search=357+B.R.+793" TargetMode="External"/><Relationship Id="rId5" Type="http://schemas.openxmlformats.org/officeDocument/2006/relationships/image" Target="media/image2.png"/><Relationship Id="rId10" Type="http://schemas.openxmlformats.org/officeDocument/2006/relationships/hyperlink" Target="http://www.lexis.com/research/xlink?app=00075&amp;view=full&amp;searchtype=get&amp;search=2009+U.S.+Dist.+LEXIS+81657" TargetMode="External"/><Relationship Id="rId4" Type="http://schemas.openxmlformats.org/officeDocument/2006/relationships/image" Target="media/image1.png"/><Relationship Id="rId9" Type="http://schemas.openxmlformats.org/officeDocument/2006/relationships/hyperlink" Target="http://www.lexis.com/research/xlink?app=00075&amp;view=full&amp;searchtype=get&amp;search=2010+U.S.+Dist.+LEXIS+1087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Scheer</dc:creator>
  <cp:keywords/>
  <dc:description/>
  <cp:lastModifiedBy>Spencer Scheer</cp:lastModifiedBy>
  <cp:revision>1</cp:revision>
  <dcterms:created xsi:type="dcterms:W3CDTF">2012-09-11T22:29:00Z</dcterms:created>
  <dcterms:modified xsi:type="dcterms:W3CDTF">2012-09-11T22:29:00Z</dcterms:modified>
</cp:coreProperties>
</file>